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eastAsia" w:ascii="ＭＳ 明朝" w:hAnsi="ＭＳ 明朝" w:eastAsia="ＭＳ 明朝"/>
          <w:sz w:val="24"/>
        </w:rPr>
      </w:pPr>
      <w:r>
        <w:rPr>
          <w:rFonts w:hint="eastAsia" w:ascii="ＭＳ 明朝" w:hAnsi="ＭＳ 明朝" w:eastAsia="ＭＳ 明朝"/>
          <w:sz w:val="28"/>
        </w:rPr>
        <w:t>特定性犯罪歴等に関する誓約書</w:t>
      </w:r>
    </w:p>
    <w:p>
      <w:pPr>
        <w:pStyle w:val="0"/>
        <w:jc w:val="center"/>
        <w:rPr>
          <w:rFonts w:hint="eastAsia" w:ascii="ＭＳ 明朝" w:hAnsi="ＭＳ 明朝" w:eastAsia="ＭＳ 明朝"/>
          <w:sz w:val="24"/>
        </w:rPr>
      </w:pPr>
    </w:p>
    <w:p>
      <w:pPr>
        <w:pStyle w:val="0"/>
        <w:ind w:firstLine="240" w:firstLineChars="100"/>
        <w:rPr>
          <w:rFonts w:hint="eastAsia" w:ascii="ＭＳ 明朝" w:hAnsi="ＭＳ 明朝" w:eastAsia="ＭＳ 明朝"/>
          <w:sz w:val="24"/>
        </w:rPr>
      </w:pPr>
      <w:r>
        <w:rPr>
          <w:rFonts w:hint="eastAsia" w:ascii="ＭＳ 明朝" w:hAnsi="ＭＳ 明朝" w:eastAsia="ＭＳ 明朝"/>
          <w:b w:val="0"/>
          <w:sz w:val="24"/>
          <w:u w:val="single" w:color="auto"/>
        </w:rPr>
        <w:t>狛江市長　</w:t>
      </w:r>
      <w:r>
        <w:rPr>
          <w:rFonts w:hint="eastAsia" w:ascii="ＭＳ 明朝" w:hAnsi="ＭＳ 明朝" w:eastAsia="ＭＳ 明朝"/>
          <w:sz w:val="24"/>
        </w:rPr>
        <w:t>様</w:t>
      </w:r>
    </w:p>
    <w:p>
      <w:pPr>
        <w:pStyle w:val="0"/>
        <w:rPr>
          <w:rFonts w:hint="eastAsia" w:ascii="ＭＳ 明朝" w:hAnsi="ＭＳ 明朝" w:eastAsia="ＭＳ 明朝"/>
          <w:sz w:val="24"/>
        </w:rPr>
      </w:pPr>
    </w:p>
    <w:p>
      <w:pPr>
        <w:pStyle w:val="0"/>
        <w:ind w:left="0" w:leftChars="0" w:firstLine="0" w:firstLineChars="0"/>
        <w:rPr>
          <w:rFonts w:hint="eastAsia" w:ascii="ＭＳ 明朝" w:hAnsi="ＭＳ 明朝" w:eastAsia="ＭＳ 明朝"/>
          <w:sz w:val="24"/>
        </w:rPr>
      </w:pPr>
    </w:p>
    <w:p>
      <w:pPr>
        <w:pStyle w:val="0"/>
        <w:ind w:left="0" w:leftChars="0" w:firstLine="240" w:firstLineChars="100"/>
        <w:rPr>
          <w:rFonts w:hint="eastAsia" w:ascii="ＭＳ 明朝" w:hAnsi="ＭＳ 明朝" w:eastAsia="ＭＳ 明朝"/>
          <w:sz w:val="24"/>
        </w:rPr>
      </w:pPr>
      <w:r>
        <w:rPr>
          <w:rFonts w:hint="eastAsia" w:ascii="ＭＳ 明朝" w:hAnsi="ＭＳ 明朝" w:eastAsia="ＭＳ 明朝"/>
          <w:sz w:val="24"/>
        </w:rPr>
        <w:t>私は、貴市への任用に際し、裏面記載の、</w:t>
      </w:r>
      <w:r>
        <w:rPr>
          <w:rFonts w:hint="eastAsia" w:ascii="ＭＳ 明朝" w:hAnsi="ＭＳ 明朝" w:eastAsia="ＭＳ 明朝"/>
          <w:sz w:val="24"/>
          <w:u w:val="none" w:color="auto"/>
        </w:rPr>
        <w:t>令和８年</w:t>
      </w:r>
      <w:r>
        <w:rPr>
          <w:rFonts w:hint="eastAsia" w:ascii="ＭＳ 明朝" w:hAnsi="ＭＳ 明朝" w:eastAsia="ＭＳ 明朝"/>
          <w:sz w:val="24"/>
          <w:u w:val="none" w:color="auto"/>
        </w:rPr>
        <w:t>12</w:t>
      </w:r>
      <w:r>
        <w:rPr>
          <w:rFonts w:hint="eastAsia" w:ascii="ＭＳ 明朝" w:hAnsi="ＭＳ 明朝" w:eastAsia="ＭＳ 明朝"/>
          <w:sz w:val="24"/>
          <w:u w:val="none" w:color="auto"/>
        </w:rPr>
        <w:t>月</w:t>
      </w:r>
      <w:r>
        <w:rPr>
          <w:rFonts w:hint="eastAsia" w:ascii="ＭＳ 明朝" w:hAnsi="ＭＳ 明朝" w:eastAsia="ＭＳ 明朝"/>
          <w:sz w:val="24"/>
          <w:u w:val="none" w:color="auto"/>
        </w:rPr>
        <w:t>25</w:t>
      </w:r>
      <w:r>
        <w:rPr>
          <w:rFonts w:hint="eastAsia" w:ascii="ＭＳ 明朝" w:hAnsi="ＭＳ 明朝" w:eastAsia="ＭＳ 明朝"/>
          <w:sz w:val="24"/>
          <w:u w:val="none" w:color="auto"/>
        </w:rPr>
        <w:t>日施行の</w:t>
      </w:r>
      <w:r>
        <w:rPr>
          <w:rFonts w:hint="eastAsia" w:ascii="ＭＳ 明朝" w:hAnsi="ＭＳ 明朝" w:eastAsia="ＭＳ 明朝"/>
          <w:sz w:val="24"/>
        </w:rPr>
        <w:t>児童対象性暴力等の防止等のための措置に関する法律（令和６年法律第</w:t>
      </w:r>
      <w:r>
        <w:rPr>
          <w:rFonts w:hint="eastAsia" w:ascii="ＭＳ 明朝" w:hAnsi="ＭＳ 明朝" w:eastAsia="ＭＳ 明朝"/>
          <w:sz w:val="24"/>
        </w:rPr>
        <w:t>69</w:t>
      </w:r>
      <w:r>
        <w:rPr>
          <w:rFonts w:hint="eastAsia" w:ascii="ＭＳ 明朝" w:hAnsi="ＭＳ 明朝" w:eastAsia="ＭＳ 明朝"/>
          <w:sz w:val="24"/>
        </w:rPr>
        <w:t>号）第２条第８項に規定する特定性犯罪事実該当者ではないことを誓約いたします。</w:t>
      </w:r>
    </w:p>
    <w:p>
      <w:pPr>
        <w:pStyle w:val="0"/>
        <w:ind w:left="0" w:leftChars="0" w:firstLine="240" w:firstLineChars="100"/>
        <w:rPr>
          <w:rFonts w:hint="eastAsia" w:ascii="ＭＳ 明朝" w:hAnsi="ＭＳ 明朝" w:eastAsia="ＭＳ 明朝"/>
          <w:sz w:val="24"/>
        </w:rPr>
      </w:pPr>
      <w:r>
        <w:rPr>
          <w:rFonts w:hint="eastAsia" w:ascii="ＭＳ 明朝" w:hAnsi="ＭＳ 明朝" w:eastAsia="ＭＳ 明朝"/>
          <w:sz w:val="24"/>
        </w:rPr>
        <w:t>また、以下のいずれかに該当する場合には、貴市への任用が取り消されても異議のないことを承諾いたします。</w:t>
      </w:r>
    </w:p>
    <w:p>
      <w:pPr>
        <w:pStyle w:val="0"/>
        <w:ind w:left="240" w:hanging="240" w:hangingChars="100"/>
        <w:rPr>
          <w:rFonts w:hint="eastAsia" w:ascii="ＭＳ 明朝" w:hAnsi="ＭＳ 明朝" w:eastAsia="ＭＳ 明朝"/>
          <w:sz w:val="24"/>
        </w:rPr>
      </w:pPr>
    </w:p>
    <w:p>
      <w:pPr>
        <w:pStyle w:val="0"/>
        <w:ind w:left="240" w:hanging="240" w:hangingChars="100"/>
        <w:jc w:val="center"/>
        <w:rPr>
          <w:rFonts w:hint="eastAsia" w:ascii="ＭＳ 明朝" w:hAnsi="ＭＳ 明朝" w:eastAsia="ＭＳ 明朝"/>
          <w:sz w:val="24"/>
        </w:rPr>
      </w:pPr>
      <w:r>
        <w:rPr>
          <w:rFonts w:hint="eastAsia" w:ascii="ＭＳ 明朝" w:hAnsi="ＭＳ 明朝" w:eastAsia="ＭＳ 明朝"/>
          <w:sz w:val="24"/>
        </w:rPr>
        <w:t>記</w:t>
      </w:r>
    </w:p>
    <w:p>
      <w:pPr>
        <w:pStyle w:val="0"/>
        <w:ind w:left="240" w:hanging="240" w:hangingChars="100"/>
        <w:rPr>
          <w:rFonts w:hint="eastAsia" w:ascii="ＭＳ 明朝" w:hAnsi="ＭＳ 明朝" w:eastAsia="ＭＳ 明朝"/>
          <w:sz w:val="24"/>
        </w:rPr>
      </w:pPr>
    </w:p>
    <w:p>
      <w:pPr>
        <w:pStyle w:val="0"/>
        <w:ind w:left="210" w:leftChars="100" w:firstLine="0" w:firstLineChars="0"/>
        <w:rPr>
          <w:rFonts w:hint="eastAsia" w:ascii="ＭＳ 明朝" w:hAnsi="ＭＳ 明朝" w:eastAsia="ＭＳ 明朝"/>
          <w:sz w:val="24"/>
        </w:rPr>
      </w:pPr>
      <w:r>
        <w:rPr>
          <w:rFonts w:hint="eastAsia" w:ascii="ＭＳ 明朝" w:hAnsi="ＭＳ 明朝" w:eastAsia="ＭＳ 明朝"/>
          <w:sz w:val="24"/>
        </w:rPr>
        <w:t>１　学歴、職歴、資格、犯罪歴その他の重要な経歴の詐称があるとき。</w:t>
      </w:r>
    </w:p>
    <w:p>
      <w:pPr>
        <w:pStyle w:val="0"/>
        <w:ind w:left="240" w:hanging="240" w:hangingChars="100"/>
        <w:rPr>
          <w:rFonts w:hint="eastAsia" w:ascii="ＭＳ 明朝" w:hAnsi="ＭＳ 明朝" w:eastAsia="ＭＳ 明朝"/>
          <w:sz w:val="24"/>
        </w:rPr>
      </w:pPr>
    </w:p>
    <w:p>
      <w:pPr>
        <w:pStyle w:val="0"/>
        <w:ind w:left="210" w:leftChars="100" w:firstLine="0" w:firstLineChars="0"/>
        <w:rPr>
          <w:rFonts w:hint="eastAsia" w:ascii="ＭＳ 明朝" w:hAnsi="ＭＳ 明朝" w:eastAsia="ＭＳ 明朝"/>
          <w:sz w:val="24"/>
        </w:rPr>
      </w:pPr>
      <w:r>
        <w:rPr>
          <w:rFonts w:hint="eastAsia" w:ascii="ＭＳ 明朝" w:hAnsi="ＭＳ 明朝" w:eastAsia="ＭＳ 明朝"/>
          <w:sz w:val="24"/>
        </w:rPr>
        <w:t>２　犯罪その他社会的に不相当な行為を行い職員として不適格と市が判断したとき。</w:t>
      </w:r>
    </w:p>
    <w:p>
      <w:pPr>
        <w:pStyle w:val="0"/>
        <w:ind w:left="210" w:leftChars="100" w:firstLine="0" w:firstLineChars="0"/>
        <w:rPr>
          <w:rFonts w:hint="eastAsia" w:ascii="ＭＳ 明朝" w:hAnsi="ＭＳ 明朝" w:eastAsia="ＭＳ 明朝"/>
          <w:sz w:val="24"/>
        </w:rPr>
      </w:pPr>
    </w:p>
    <w:p>
      <w:pPr>
        <w:pStyle w:val="0"/>
        <w:ind w:left="210" w:leftChars="100" w:firstLine="0" w:firstLineChars="0"/>
        <w:rPr>
          <w:rFonts w:hint="eastAsia" w:ascii="ＭＳ 明朝" w:hAnsi="ＭＳ 明朝" w:eastAsia="ＭＳ 明朝"/>
          <w:sz w:val="24"/>
        </w:rPr>
      </w:pPr>
      <w:r>
        <w:rPr>
          <w:rFonts w:hint="eastAsia" w:ascii="ＭＳ 明朝" w:hAnsi="ＭＳ 明朝" w:eastAsia="ＭＳ 明朝"/>
          <w:sz w:val="24"/>
        </w:rPr>
        <w:t>３　その他前各号に準ずるやむを得ない事由があるとき。</w:t>
      </w:r>
    </w:p>
    <w:p>
      <w:pPr>
        <w:pStyle w:val="0"/>
        <w:rPr>
          <w:rFonts w:hint="eastAsia" w:ascii="ＭＳ 明朝" w:hAnsi="ＭＳ 明朝" w:eastAsia="ＭＳ 明朝"/>
          <w:sz w:val="24"/>
        </w:rPr>
      </w:pPr>
    </w:p>
    <w:p>
      <w:pPr>
        <w:pStyle w:val="0"/>
        <w:jc w:val="right"/>
        <w:rPr>
          <w:rFonts w:hint="eastAsia" w:ascii="ＭＳ 明朝" w:hAnsi="ＭＳ 明朝" w:eastAsia="ＭＳ 明朝"/>
          <w:sz w:val="24"/>
        </w:rPr>
      </w:pPr>
      <w:r>
        <w:rPr>
          <w:rFonts w:hint="eastAsia" w:ascii="ＭＳ 明朝" w:hAnsi="ＭＳ 明朝" w:eastAsia="ＭＳ 明朝"/>
          <w:sz w:val="24"/>
        </w:rPr>
        <w:t>以上</w:t>
      </w: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rPr>
          <w:rFonts w:hint="eastAsia" w:ascii="ＭＳ 明朝" w:hAnsi="ＭＳ 明朝" w:eastAsia="ＭＳ 明朝"/>
          <w:sz w:val="24"/>
        </w:rPr>
      </w:pPr>
    </w:p>
    <w:p>
      <w:pPr>
        <w:pStyle w:val="0"/>
        <w:wordWrap w:val="0"/>
        <w:jc w:val="right"/>
        <w:rPr>
          <w:rFonts w:hint="eastAsia" w:ascii="ＭＳ 明朝" w:hAnsi="ＭＳ 明朝" w:eastAsia="ＭＳ 明朝"/>
          <w:sz w:val="24"/>
        </w:rPr>
      </w:pPr>
      <w:r>
        <w:rPr>
          <w:rFonts w:hint="eastAsia" w:ascii="ＭＳ 明朝" w:hAnsi="ＭＳ 明朝" w:eastAsia="ＭＳ 明朝"/>
          <w:sz w:val="24"/>
        </w:rPr>
        <w:t>令和　年　月　</w:t>
      </w:r>
      <w:bookmarkStart w:id="0" w:name="_GoBack"/>
      <w:bookmarkEnd w:id="0"/>
      <w:r>
        <w:rPr>
          <w:rFonts w:hint="eastAsia" w:ascii="ＭＳ 明朝" w:hAnsi="ＭＳ 明朝" w:eastAsia="ＭＳ 明朝"/>
          <w:sz w:val="24"/>
        </w:rPr>
        <w:t>日</w:t>
      </w:r>
    </w:p>
    <w:p>
      <w:pPr>
        <w:pStyle w:val="0"/>
        <w:wordWrap w:val="0"/>
        <w:jc w:val="right"/>
        <w:rPr>
          <w:rFonts w:hint="eastAsia" w:ascii="ＭＳ 明朝" w:hAnsi="ＭＳ 明朝" w:eastAsia="ＭＳ 明朝"/>
          <w:sz w:val="24"/>
          <w:u w:val="single" w:color="auto"/>
        </w:rPr>
      </w:pPr>
      <w:r>
        <w:rPr>
          <w:rFonts w:hint="eastAsia" w:ascii="ＭＳ 明朝" w:hAnsi="ＭＳ 明朝" w:eastAsia="ＭＳ 明朝"/>
          <w:sz w:val="24"/>
        </w:rPr>
        <w:t>住所：</w:t>
      </w:r>
      <w:r>
        <w:rPr>
          <w:rFonts w:hint="eastAsia" w:ascii="ＭＳ 明朝" w:hAnsi="ＭＳ 明朝" w:eastAsia="ＭＳ 明朝"/>
          <w:sz w:val="24"/>
          <w:u w:val="single" w:color="auto"/>
        </w:rPr>
        <w:t>　　　　　　　　　　　　　　</w:t>
      </w:r>
    </w:p>
    <w:p>
      <w:pPr>
        <w:pStyle w:val="0"/>
        <w:wordWrap w:val="0"/>
        <w:jc w:val="right"/>
        <w:rPr>
          <w:rFonts w:hint="eastAsia" w:ascii="ＭＳ 明朝" w:hAnsi="ＭＳ 明朝" w:eastAsia="ＭＳ 明朝"/>
          <w:sz w:val="24"/>
        </w:rPr>
      </w:pPr>
      <w:r>
        <w:rPr>
          <w:rFonts w:hint="eastAsia" w:ascii="ＭＳ 明朝" w:hAnsi="ＭＳ 明朝" w:eastAsia="ＭＳ 明朝"/>
          <w:sz w:val="24"/>
          <w:u w:val="single" w:color="auto"/>
        </w:rPr>
        <w:t>　　　　　　　　　　　　　　</w:t>
      </w:r>
    </w:p>
    <w:p>
      <w:pPr>
        <w:pStyle w:val="0"/>
        <w:wordWrap w:val="0"/>
        <w:jc w:val="right"/>
        <w:rPr>
          <w:rFonts w:hint="eastAsia" w:ascii="ＭＳ 明朝" w:hAnsi="ＭＳ 明朝" w:eastAsia="ＭＳ 明朝"/>
          <w:sz w:val="24"/>
          <w:u w:val="single" w:color="auto"/>
        </w:rPr>
      </w:pPr>
      <w:r>
        <w:rPr>
          <w:rFonts w:hint="eastAsia" w:ascii="ＭＳ 明朝" w:hAnsi="ＭＳ 明朝" w:eastAsia="ＭＳ 明朝"/>
          <w:sz w:val="24"/>
        </w:rPr>
        <w:t>氏名：</w:t>
      </w:r>
      <w:r>
        <w:rPr>
          <w:rFonts w:hint="eastAsia" w:ascii="ＭＳ 明朝" w:hAnsi="ＭＳ 明朝" w:eastAsia="ＭＳ 明朝"/>
          <w:sz w:val="24"/>
          <w:u w:val="single" w:color="auto"/>
        </w:rPr>
        <w:t>　　　　　　　　　　　　　　</w:t>
      </w:r>
    </w:p>
    <w:p>
      <w:pPr>
        <w:pStyle w:val="0"/>
        <w:rPr>
          <w:rFonts w:hint="eastAsia" w:ascii="ＭＳ 明朝" w:hAnsi="ＭＳ 明朝" w:eastAsia="ＭＳ 明朝"/>
          <w:sz w:val="24"/>
        </w:rPr>
      </w:pPr>
      <w:r>
        <w:rPr>
          <w:rFonts w:hint="eastAsia"/>
        </w:rPr>
        <w:br w:type="page"/>
      </w:r>
    </w:p>
    <w:p>
      <w:pPr>
        <w:pStyle w:val="0"/>
        <w:rPr>
          <w:rFonts w:hint="eastAsia" w:ascii="ＭＳ 明朝" w:hAnsi="ＭＳ 明朝" w:eastAsia="ＭＳ 明朝"/>
          <w:sz w:val="24"/>
        </w:rPr>
      </w:pPr>
      <w:r>
        <w:rPr>
          <w:rFonts w:hint="eastAsia" w:ascii="ＭＳ 明朝" w:hAnsi="ＭＳ 明朝" w:eastAsia="ＭＳ 明朝"/>
          <w:sz w:val="24"/>
        </w:rPr>
        <w:t>（裏面）参照条文</w:t>
      </w:r>
    </w:p>
    <w:tbl>
      <w:tblPr>
        <w:tblStyle w:val="11"/>
        <w:tblW w:w="860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firstRow="1" w:lastRow="0" w:firstColumn="1" w:lastColumn="0" w:noHBand="0" w:noVBand="1" w:val="04A0"/>
      </w:tblPr>
      <w:tblGrid>
        <w:gridCol w:w="8605"/>
      </w:tblGrid>
      <w:tr>
        <w:trPr/>
        <w:tc>
          <w:tcPr>
            <w:tcW w:w="8605" w:type="dxa"/>
            <w:vAlign w:val="top"/>
          </w:tcPr>
          <w:p>
            <w:pPr>
              <w:pStyle w:val="0"/>
              <w:spacing w:line="240" w:lineRule="exact"/>
              <w:rPr>
                <w:rFonts w:hint="default" w:ascii="ＭＳ 明朝" w:hAnsi="ＭＳ 明朝"/>
                <w:sz w:val="18"/>
              </w:rPr>
            </w:pPr>
            <w:r>
              <w:rPr>
                <w:rFonts w:hint="eastAsia" w:ascii="ＭＳ 明朝" w:hAnsi="ＭＳ 明朝"/>
                <w:sz w:val="18"/>
              </w:rPr>
              <w:t>学校設置者等及び民間教育保育等事業者による児童対象性暴力等の防止等のための措置に関する法律（令和６年法律第</w:t>
            </w:r>
            <w:r>
              <w:rPr>
                <w:rFonts w:hint="eastAsia" w:ascii="ＭＳ 明朝" w:hAnsi="ＭＳ 明朝"/>
                <w:sz w:val="18"/>
              </w:rPr>
              <w:t>69</w:t>
            </w:r>
            <w:r>
              <w:rPr>
                <w:rFonts w:hint="eastAsia" w:ascii="ＭＳ 明朝" w:hAnsi="ＭＳ 明朝"/>
                <w:sz w:val="18"/>
              </w:rPr>
              <w:t>号）（抄）</w:t>
            </w:r>
          </w:p>
          <w:p>
            <w:pPr>
              <w:pStyle w:val="0"/>
              <w:spacing w:line="240" w:lineRule="exact"/>
              <w:rPr>
                <w:rFonts w:hint="default" w:ascii="ＭＳ 明朝" w:hAnsi="ＭＳ 明朝"/>
                <w:sz w:val="18"/>
              </w:rPr>
            </w:pPr>
            <w:r>
              <w:rPr>
                <w:rFonts w:hint="eastAsia" w:ascii="ＭＳ 明朝" w:hAnsi="ＭＳ 明朝"/>
                <w:sz w:val="18"/>
              </w:rPr>
              <w:t>（定義）</w:t>
            </w:r>
          </w:p>
          <w:p>
            <w:pPr>
              <w:pStyle w:val="0"/>
              <w:spacing w:line="240" w:lineRule="exact"/>
              <w:rPr>
                <w:rFonts w:hint="default" w:ascii="ＭＳ 明朝" w:hAnsi="ＭＳ 明朝"/>
                <w:sz w:val="18"/>
              </w:rPr>
            </w:pPr>
            <w:r>
              <w:rPr>
                <w:rFonts w:hint="eastAsia" w:ascii="ＭＳ 明朝" w:hAnsi="ＭＳ 明朝"/>
                <w:sz w:val="18"/>
              </w:rPr>
              <w:t>第二条（略）</w:t>
            </w:r>
          </w:p>
          <w:p>
            <w:pPr>
              <w:pStyle w:val="0"/>
              <w:spacing w:line="240" w:lineRule="exact"/>
              <w:rPr>
                <w:rFonts w:hint="default" w:ascii="ＭＳ 明朝" w:hAnsi="ＭＳ 明朝"/>
                <w:sz w:val="18"/>
              </w:rPr>
            </w:pPr>
            <w:r>
              <w:rPr>
                <w:rFonts w:hint="eastAsia" w:ascii="ＭＳ 明朝" w:hAnsi="ＭＳ 明朝"/>
                <w:sz w:val="18"/>
              </w:rPr>
              <w:t>７　この法律において「特定性犯罪」とは、次に掲げる罪をいう。</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一　刑法（明治四十年法律第四十五号）第百七十六条、第百七十七条、第百七十九条から第百八十二条まで、第二百四十一条第一項若しくは第三項又は第二百四十三条（同項の罪に係る部分に限る。）の罪</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二　盗犯等の防止及び処分に関する法律（昭和五年法律第九号）第四条の罪（刑法第二百四十一条第一項の罪を犯す行為に係るものに限る。）</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三　児童福祉法第六十条第一項の罪</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四　児童買春、児童ポルノに係る行為等の規制及び処罰並びに児童の保護等に関する法律（平成十一年法律第五十二号）第四条から第八条までの罪</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五　性的な姿態を撮影する行為等の処罰及び押収物に記録された性的な姿態の影像に係る電磁的記録の消去等に関する法律（令和五年法律第六十七号）第二条から第六条までの罪</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六　都道府県の条例で定める罪であって、次のイからニまでに掲げる行為のいずれかを罰するものとして政令で定めるもの</w:t>
            </w:r>
          </w:p>
          <w:p>
            <w:pPr>
              <w:pStyle w:val="0"/>
              <w:spacing w:line="240" w:lineRule="exact"/>
              <w:ind w:left="630" w:leftChars="200" w:hanging="210" w:hangingChars="100"/>
              <w:rPr>
                <w:rFonts w:hint="default" w:ascii="ＭＳ 明朝" w:hAnsi="ＭＳ 明朝"/>
                <w:sz w:val="18"/>
              </w:rPr>
            </w:pPr>
            <w:r>
              <w:rPr>
                <w:rFonts w:hint="eastAsia" w:ascii="ＭＳ 明朝" w:hAnsi="ＭＳ 明朝"/>
                <w:sz w:val="18"/>
              </w:rPr>
              <w:t>イ　みだりに人の身体の一部に接触する行為</w:t>
            </w:r>
          </w:p>
          <w:p>
            <w:pPr>
              <w:pStyle w:val="0"/>
              <w:spacing w:line="240" w:lineRule="exact"/>
              <w:ind w:left="630" w:leftChars="200" w:hanging="210" w:hangingChars="100"/>
              <w:rPr>
                <w:rFonts w:hint="default" w:ascii="ＭＳ 明朝" w:hAnsi="ＭＳ 明朝"/>
                <w:sz w:val="18"/>
              </w:rPr>
            </w:pPr>
            <w:r>
              <w:rPr>
                <w:rFonts w:hint="eastAsia" w:ascii="ＭＳ 明朝" w:hAnsi="ＭＳ 明朝"/>
                <w:sz w:val="18"/>
              </w:rPr>
              <w:t>ロ　正当な理由がなくて、人の通常衣服で隠されている下着若しくは身体をのぞき見し、若しくは写真機その他の機器（以下このロにおいて「写真機等」という。）を用いて撮影し、又は当該下着若しくは身体を撮影する目的で写真機等を差し向け、若しくは設置する行為</w:t>
            </w:r>
          </w:p>
          <w:p>
            <w:pPr>
              <w:pStyle w:val="0"/>
              <w:spacing w:line="240" w:lineRule="exact"/>
              <w:ind w:left="630" w:leftChars="200" w:hanging="210" w:hangingChars="100"/>
              <w:rPr>
                <w:rFonts w:hint="default" w:ascii="ＭＳ 明朝" w:hAnsi="ＭＳ 明朝"/>
                <w:sz w:val="18"/>
              </w:rPr>
            </w:pPr>
            <w:r>
              <w:rPr>
                <w:rFonts w:hint="eastAsia" w:ascii="ＭＳ 明朝" w:hAnsi="ＭＳ 明朝"/>
                <w:sz w:val="18"/>
              </w:rPr>
              <w:t>ハ　みだりに卑わいな言動をする行為（イ又はロに掲げるものを除く。）</w:t>
            </w:r>
          </w:p>
          <w:p>
            <w:pPr>
              <w:pStyle w:val="0"/>
              <w:spacing w:line="240" w:lineRule="exact"/>
              <w:ind w:left="630" w:leftChars="200" w:hanging="210" w:hangingChars="100"/>
              <w:rPr>
                <w:rFonts w:hint="default" w:ascii="ＭＳ 明朝" w:hAnsi="ＭＳ 明朝"/>
                <w:sz w:val="18"/>
              </w:rPr>
            </w:pPr>
            <w:r>
              <w:rPr>
                <w:rFonts w:hint="eastAsia" w:ascii="ＭＳ 明朝" w:hAnsi="ＭＳ 明朝"/>
                <w:sz w:val="18"/>
              </w:rPr>
              <w:t>ニ　児童と性交し、又は児童に対しわいせつな行為をする行為</w:t>
            </w:r>
          </w:p>
          <w:p>
            <w:pPr>
              <w:pStyle w:val="0"/>
              <w:spacing w:line="240" w:lineRule="exact"/>
              <w:rPr>
                <w:rFonts w:hint="default" w:ascii="ＭＳ 明朝" w:hAnsi="ＭＳ 明朝"/>
                <w:sz w:val="18"/>
              </w:rPr>
            </w:pPr>
            <w:r>
              <w:rPr>
                <w:rFonts w:hint="eastAsia" w:ascii="ＭＳ 明朝" w:hAnsi="ＭＳ 明朝"/>
                <w:sz w:val="18"/>
              </w:rPr>
              <w:t>８　この法律において「特定性犯罪事実該当者」とは、次の各号のいずれかに該当する者をいう。</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一　特定性犯罪について拘禁刑を言い渡す裁判が確定した者（その刑の全部の執行猶予の言渡しを受けた者（当該執行猶予の言渡しが取り消された者を除く。次号において「執行猶予者」という。）を除く。）であって、その刑の執行を終わり、又は執行を受けることがなくなった日から起算して二十年を経過しないもの</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二　特定性犯罪について拘禁刑を言い渡す裁判が確定した者のうち執行猶予者であって、当該裁判が確定した日から起算して十年を経過しないもの</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三　特定性犯罪について罰金を言い渡す裁判が確定した者であって、その刑の執行を終わり、又は執行を受けることがなくなった日から起算して十年を経過しないもの</w:t>
            </w:r>
          </w:p>
          <w:p>
            <w:pPr>
              <w:pStyle w:val="0"/>
              <w:spacing w:line="240" w:lineRule="exact"/>
              <w:ind w:firstLine="630" w:firstLineChars="300"/>
              <w:rPr>
                <w:rFonts w:hint="default" w:ascii="ＭＳ 明朝" w:hAnsi="ＭＳ 明朝"/>
                <w:sz w:val="18"/>
              </w:rPr>
            </w:pPr>
            <w:r>
              <w:rPr>
                <w:rFonts w:hint="eastAsia" w:ascii="ＭＳ 明朝" w:hAnsi="ＭＳ 明朝"/>
                <w:sz w:val="18"/>
              </w:rPr>
              <w:t>附　則</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（改正前の刑法に規定する罪についてのこの法律の適用関係）</w:t>
            </w:r>
          </w:p>
          <w:p>
            <w:pPr>
              <w:pStyle w:val="0"/>
              <w:spacing w:line="240" w:lineRule="exact"/>
              <w:ind w:left="210" w:hanging="210" w:hangingChars="100"/>
              <w:rPr>
                <w:rFonts w:hint="default" w:ascii="ＭＳ 明朝" w:hAnsi="ＭＳ 明朝"/>
                <w:sz w:val="18"/>
              </w:rPr>
            </w:pPr>
            <w:r>
              <w:rPr>
                <w:rFonts w:hint="eastAsia" w:ascii="ＭＳ 明朝" w:hAnsi="ＭＳ 明朝"/>
                <w:sz w:val="18"/>
              </w:rPr>
              <w:t>第二条　第二条第七項（第一号に係る部分に限る。）の規定の適用については、次に掲げる罪は、同号に掲げる罪とみなす。</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一　刑法の一部を改正する法律（平成二十九年法律第七十二号。次項において「刑法一部改正法」という。）による改正前の刑法第百七十八条の二、第百八十一条第三項若しくは第二百四十一条の罪又はこれらの罪の未遂罪</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二　刑法及び刑事訴訟法の一部を改正する法律（令和五年法律第六十六号）第一条の規定による改正前の刑法第百七十六条から第百七十八条までの罪又はこれらの罪の未遂罪</w:t>
            </w:r>
          </w:p>
          <w:p>
            <w:pPr>
              <w:pStyle w:val="0"/>
              <w:spacing w:line="240" w:lineRule="exact"/>
              <w:ind w:left="210" w:hanging="210" w:hangingChars="100"/>
              <w:rPr>
                <w:rFonts w:hint="default" w:ascii="ＭＳ 明朝" w:hAnsi="ＭＳ 明朝"/>
                <w:sz w:val="18"/>
              </w:rPr>
            </w:pPr>
            <w:r>
              <w:rPr>
                <w:rFonts w:hint="eastAsia" w:ascii="ＭＳ 明朝" w:hAnsi="ＭＳ 明朝"/>
                <w:sz w:val="18"/>
              </w:rPr>
              <w:t>２　第二条第七項（第二号に係る部分に限る。）の規定の適用については、刑法一部改正法附則第三条の規定による改正前の盗犯等の防止及び処分に関する法律第四条の罪（刑法一部改正法による改正前の刑法第二百四十一条前段の罪又はその未遂罪を犯す行為に係るものに限る。）は、同号に掲げる罪とみなす。</w:t>
            </w:r>
          </w:p>
          <w:p>
            <w:pPr>
              <w:pStyle w:val="0"/>
              <w:spacing w:line="240" w:lineRule="exact"/>
              <w:ind w:left="420" w:leftChars="100" w:hanging="210" w:hangingChars="100"/>
              <w:rPr>
                <w:rFonts w:hint="default" w:ascii="ＭＳ 明朝" w:hAnsi="ＭＳ 明朝"/>
                <w:sz w:val="18"/>
              </w:rPr>
            </w:pPr>
            <w:r>
              <w:rPr>
                <w:rFonts w:hint="eastAsia" w:ascii="ＭＳ 明朝" w:hAnsi="ＭＳ 明朝"/>
                <w:sz w:val="18"/>
              </w:rPr>
              <w:t>（懲役を言い渡す裁判についてのこの法律の適用関係）</w:t>
            </w:r>
          </w:p>
          <w:p>
            <w:pPr>
              <w:pStyle w:val="0"/>
              <w:spacing w:line="240" w:lineRule="exact"/>
              <w:ind w:left="210" w:hanging="210" w:hangingChars="100"/>
              <w:rPr>
                <w:rFonts w:hint="default" w:ascii="ＭＳ 明朝" w:hAnsi="ＭＳ 明朝"/>
                <w:sz w:val="18"/>
              </w:rPr>
            </w:pPr>
            <w:r>
              <w:rPr>
                <w:rFonts w:hint="eastAsia" w:ascii="ＭＳ 明朝" w:hAnsi="ＭＳ 明朝"/>
                <w:sz w:val="18"/>
              </w:rPr>
              <w:t>第三条　第二条第八項（第一号及び第二号に係る部分に限る。）及び第三十四条第二項（第一号並びに第二号ロ及びホに係る部分に限る。）の規定の適用については、刑法等の一部を改正する法律（令和四年法律第六十七号）第二条の規定による改正前の刑法第十二条に規定する懲役又はその全部の執行猶予を言い渡す裁判は、拘禁刑又はその全部の執行猶予を言い渡す裁判とみなす。</w:t>
            </w:r>
          </w:p>
        </w:tc>
      </w:tr>
    </w:tbl>
    <w:p>
      <w:pPr>
        <w:pStyle w:val="0"/>
        <w:rPr>
          <w:rFonts w:hint="eastAsia" w:ascii="ＭＳ 明朝" w:hAnsi="ＭＳ 明朝" w:eastAsia="ＭＳ 明朝"/>
          <w:sz w:val="24"/>
        </w:rPr>
      </w:pPr>
    </w:p>
    <w:p>
      <w:pPr>
        <w:pStyle w:val="0"/>
        <w:rPr>
          <w:rFonts w:hint="eastAsia" w:ascii="ＭＳ 明朝" w:hAnsi="ＭＳ 明朝" w:eastAsia="ＭＳ 明朝"/>
          <w:sz w:val="24"/>
        </w:rPr>
      </w:pPr>
    </w:p>
    <w:sectPr>
      <w:pgSz w:w="11906" w:h="16838"/>
      <w:pgMar w:top="1985" w:right="1701" w:bottom="1701" w:left="1701" w:header="851" w:footer="992"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ＭＳ ゴシック">
    <w:panose1 w:val="00000000000000000000"/>
    <w:charset w:val="80"/>
    <w:family w:val="modern"/>
    <w:notTrueType/>
    <w:pitch w:val="fixed"/>
    <w:sig w:usb0="00000000" w:usb1="00000000" w:usb2="00000000" w:usb3="00000000" w:csb0="01008200" w:csb1="00000000"/>
  </w:font>
  <w:font w:name="Meiryo UI">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70"/>
  <w:bordersDoNotSurroundHeader/>
  <w:bordersDoNotSurroundFooter/>
  <w:defaultTabStop w:val="840"/>
  <w:hyphenationZone w:val="0"/>
  <w:defaultTableStyle w:val="17"/>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 w:type="table" w:styleId="17" w:customStyle="1">
    <w:name w:val="表（シンプル 1）"/>
    <w:basedOn w:val="11"/>
    <w:next w:val="17"/>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73</TotalTime>
  <Pages>2</Pages>
  <Words>4</Words>
  <Characters>1877</Characters>
  <Application>JUST Note</Application>
  <Lines>82</Lines>
  <Paragraphs>40</Paragraphs>
  <CharactersWithSpaces>1946</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
  </dc:creator>
  <cp:lastModifiedBy>KLGS086</cp:lastModifiedBy>
  <dcterms:created xsi:type="dcterms:W3CDTF">2025-12-25T06:16:00Z</dcterms:created>
  <dcterms:modified xsi:type="dcterms:W3CDTF">2026-04-23T08:01:44Z</dcterms:modified>
  <cp:revision>9</cp:revision>
</cp:coreProperties>
</file>